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425623">
        <w:rPr>
          <w:sz w:val="28"/>
          <w:szCs w:val="28"/>
        </w:rPr>
        <w:t>86MS0005-01-2024-011042-68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425623">
        <w:rPr>
          <w:sz w:val="28"/>
          <w:szCs w:val="28"/>
        </w:rPr>
        <w:t>05-5034/0501/2024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 xml:space="preserve">         </w:t>
            </w:r>
            <w:r w:rsidR="00425623">
              <w:rPr>
                <w:sz w:val="28"/>
                <w:szCs w:val="28"/>
              </w:rPr>
              <w:t>10 декабря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Низамеева</w:t>
      </w:r>
      <w:r>
        <w:rPr>
          <w:sz w:val="28"/>
          <w:szCs w:val="28"/>
        </w:rPr>
        <w:t xml:space="preserve"> И</w:t>
      </w:r>
      <w:r w:rsidR="00960C65">
        <w:rPr>
          <w:sz w:val="28"/>
          <w:szCs w:val="28"/>
        </w:rPr>
        <w:t>.Г</w:t>
      </w:r>
      <w:r w:rsidRPr="00BA0CCC">
        <w:rPr>
          <w:rFonts w:eastAsia="Times New Roman CYR"/>
          <w:sz w:val="28"/>
          <w:szCs w:val="28"/>
        </w:rPr>
        <w:t xml:space="preserve">, </w:t>
      </w:r>
      <w:r w:rsidR="00960C65">
        <w:rPr>
          <w:rFonts w:eastAsia="Times New Roman CYR"/>
          <w:sz w:val="28"/>
          <w:szCs w:val="28"/>
        </w:rPr>
        <w:t>***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>в совершении правонарушения, предусмотренного ч. 4 ст. 12.15 Кодекса Российской Федерации об админис</w:t>
      </w:r>
      <w:r w:rsidRPr="00EF1C33">
        <w:rPr>
          <w:sz w:val="28"/>
          <w:szCs w:val="28"/>
        </w:rPr>
        <w:t xml:space="preserve">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Низамеев И.Г. </w:t>
      </w:r>
      <w:r>
        <w:rPr>
          <w:sz w:val="28"/>
          <w:szCs w:val="28"/>
        </w:rPr>
        <w:t>09.10.2024 в 15:41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>час. на 647 км автодороги Р-404 Тюмень-Тобольск-Ханты-Мансийск, управляя т/</w:t>
      </w:r>
      <w:r>
        <w:rPr>
          <w:sz w:val="28"/>
          <w:szCs w:val="28"/>
        </w:rPr>
        <w:t>с  УАЗ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PICKUP</w:t>
      </w:r>
      <w:r>
        <w:rPr>
          <w:sz w:val="28"/>
          <w:szCs w:val="28"/>
        </w:rPr>
        <w:t xml:space="preserve">, г.р.з. </w:t>
      </w:r>
      <w:r w:rsidR="00960C65">
        <w:rPr>
          <w:sz w:val="28"/>
          <w:szCs w:val="28"/>
        </w:rPr>
        <w:t>***</w:t>
      </w:r>
      <w:r>
        <w:rPr>
          <w:sz w:val="28"/>
          <w:szCs w:val="28"/>
        </w:rPr>
        <w:t>, совершил обгон впереди двигающегося грузового транспортного средства  с</w:t>
      </w:r>
      <w:r>
        <w:rPr>
          <w:sz w:val="28"/>
          <w:szCs w:val="28"/>
        </w:rPr>
        <w:t xml:space="preserve"> выездом на полосу дороги, предназначенную для встречного движения,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 w:rsidR="00E70B0E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425623" w:rsidP="001A77D4">
      <w:pPr>
        <w:pStyle w:val="BodyText"/>
        <w:suppressAutoHyphens/>
        <w:ind w:firstLine="567"/>
        <w:rPr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Низамеев</w:t>
      </w:r>
      <w:r>
        <w:rPr>
          <w:rFonts w:eastAsia="Times New Roman CYR"/>
          <w:sz w:val="28"/>
          <w:szCs w:val="28"/>
          <w:lang w:val="ru-RU"/>
        </w:rPr>
        <w:t xml:space="preserve"> И.Г.</w:t>
      </w:r>
      <w:r w:rsidR="001A77D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 судебном заседании</w:t>
      </w:r>
      <w:r w:rsidR="004A496E">
        <w:rPr>
          <w:sz w:val="28"/>
          <w:szCs w:val="28"/>
          <w:lang w:val="ru-RU"/>
        </w:rPr>
        <w:t xml:space="preserve"> вину признал, пояснив, что не успел завершить маневр обгона, просит назначить наказание в виде штрафа.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 xml:space="preserve">Мировой судья, </w:t>
      </w:r>
      <w:r w:rsidR="00425623">
        <w:rPr>
          <w:sz w:val="28"/>
          <w:szCs w:val="28"/>
          <w:lang w:val="ru-RU"/>
        </w:rPr>
        <w:t xml:space="preserve">заслушав Низамеева, </w:t>
      </w:r>
      <w:r w:rsidRPr="0062561C">
        <w:rPr>
          <w:sz w:val="28"/>
          <w:szCs w:val="28"/>
        </w:rPr>
        <w:t>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425623">
        <w:rPr>
          <w:rFonts w:eastAsia="Times New Roman CYR"/>
          <w:sz w:val="28"/>
          <w:szCs w:val="28"/>
        </w:rPr>
        <w:t>Низамеев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425623">
        <w:rPr>
          <w:b/>
          <w:sz w:val="28"/>
          <w:szCs w:val="28"/>
        </w:rPr>
        <w:t xml:space="preserve">- </w:t>
      </w:r>
      <w:r w:rsidRPr="001711F5">
        <w:rPr>
          <w:sz w:val="28"/>
          <w:szCs w:val="28"/>
        </w:rPr>
        <w:t xml:space="preserve">протоколом об административном правонарушении </w:t>
      </w:r>
      <w:r w:rsidRPr="001711F5" w:rsidR="00425623">
        <w:rPr>
          <w:sz w:val="28"/>
          <w:szCs w:val="28"/>
        </w:rPr>
        <w:t>86хм659187</w:t>
      </w:r>
      <w:r w:rsidRPr="001711F5" w:rsidR="005A7306">
        <w:rPr>
          <w:sz w:val="28"/>
          <w:szCs w:val="28"/>
        </w:rPr>
        <w:t xml:space="preserve"> </w:t>
      </w:r>
      <w:r w:rsidRPr="001711F5">
        <w:rPr>
          <w:sz w:val="28"/>
          <w:szCs w:val="28"/>
        </w:rPr>
        <w:t xml:space="preserve">от </w:t>
      </w:r>
      <w:r w:rsidRPr="001711F5" w:rsidR="00425623">
        <w:rPr>
          <w:sz w:val="28"/>
          <w:szCs w:val="28"/>
        </w:rPr>
        <w:t>09.10.2024</w:t>
      </w:r>
      <w:r w:rsidRPr="0062561C">
        <w:rPr>
          <w:sz w:val="28"/>
          <w:szCs w:val="28"/>
        </w:rPr>
        <w:t xml:space="preserve">, согласно которому </w:t>
      </w:r>
      <w:r w:rsidR="00425623">
        <w:rPr>
          <w:rFonts w:eastAsia="Times New Roman CYR"/>
          <w:sz w:val="28"/>
          <w:szCs w:val="28"/>
        </w:rPr>
        <w:t>Низамеев</w:t>
      </w:r>
      <w:r w:rsidRPr="00EF1C33">
        <w:rPr>
          <w:sz w:val="28"/>
          <w:szCs w:val="28"/>
        </w:rPr>
        <w:t xml:space="preserve"> </w:t>
      </w:r>
      <w:r w:rsidR="00425623">
        <w:rPr>
          <w:sz w:val="28"/>
          <w:szCs w:val="28"/>
        </w:rPr>
        <w:t xml:space="preserve">09.10.2024 </w:t>
      </w:r>
      <w:r w:rsidR="001711F5">
        <w:rPr>
          <w:sz w:val="28"/>
          <w:szCs w:val="28"/>
        </w:rPr>
        <w:t xml:space="preserve">в </w:t>
      </w:r>
      <w:r w:rsidR="00425623">
        <w:rPr>
          <w:sz w:val="28"/>
          <w:szCs w:val="28"/>
        </w:rPr>
        <w:t>15:41</w:t>
      </w:r>
      <w:r w:rsidR="005A7306">
        <w:rPr>
          <w:sz w:val="28"/>
          <w:szCs w:val="28"/>
        </w:rPr>
        <w:t xml:space="preserve"> </w:t>
      </w:r>
      <w:r w:rsidR="001711F5">
        <w:rPr>
          <w:sz w:val="28"/>
          <w:szCs w:val="28"/>
        </w:rPr>
        <w:t xml:space="preserve">час. </w:t>
      </w:r>
      <w:r w:rsidR="00425623">
        <w:rPr>
          <w:sz w:val="28"/>
          <w:szCs w:val="28"/>
        </w:rPr>
        <w:t>на 647 км автодороги Р-404 Тюмень-Тобольск-Ханты-Мансийск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11F5">
        <w:rPr>
          <w:sz w:val="28"/>
          <w:szCs w:val="28"/>
        </w:rPr>
        <w:t>управляя т/</w:t>
      </w:r>
      <w:r w:rsidR="001711F5">
        <w:rPr>
          <w:sz w:val="28"/>
          <w:szCs w:val="28"/>
        </w:rPr>
        <w:t>с  УАЗ</w:t>
      </w:r>
      <w:r w:rsidR="001711F5">
        <w:rPr>
          <w:sz w:val="28"/>
          <w:szCs w:val="28"/>
        </w:rPr>
        <w:t xml:space="preserve"> </w:t>
      </w:r>
      <w:r w:rsidR="001711F5">
        <w:rPr>
          <w:sz w:val="28"/>
          <w:szCs w:val="28"/>
          <w:lang w:val="en-US"/>
        </w:rPr>
        <w:t>PICKUP</w:t>
      </w:r>
      <w:r w:rsidR="001711F5">
        <w:rPr>
          <w:sz w:val="28"/>
          <w:szCs w:val="28"/>
        </w:rPr>
        <w:t xml:space="preserve">, г.р.з. </w:t>
      </w:r>
      <w:r w:rsidR="00960C65">
        <w:rPr>
          <w:sz w:val="28"/>
          <w:szCs w:val="28"/>
        </w:rPr>
        <w:t>***</w:t>
      </w:r>
      <w:r w:rsidR="001711F5">
        <w:rPr>
          <w:sz w:val="28"/>
          <w:szCs w:val="28"/>
        </w:rPr>
        <w:t xml:space="preserve">, совершил обгон впереди двигающегося грузового транспортного средства  с выездом на полосу дороги, предназначенную для встречного движения, при этом пересек сплошную линию горизонтальной дорожной разметки 1.1,  чем </w:t>
      </w:r>
      <w:r w:rsidRPr="00B30AD8" w:rsidR="001711F5">
        <w:rPr>
          <w:sz w:val="28"/>
          <w:szCs w:val="28"/>
        </w:rPr>
        <w:t>нарушил п. 1.3</w:t>
      </w:r>
      <w:r w:rsidR="001711F5">
        <w:rPr>
          <w:sz w:val="28"/>
          <w:szCs w:val="28"/>
        </w:rPr>
        <w:t>, 9.1.1</w:t>
      </w:r>
      <w:r w:rsidRPr="00B30AD8" w:rsidR="001711F5">
        <w:rPr>
          <w:sz w:val="28"/>
          <w:szCs w:val="28"/>
        </w:rPr>
        <w:t xml:space="preserve"> </w:t>
      </w:r>
      <w:r w:rsidR="001711F5">
        <w:rPr>
          <w:sz w:val="28"/>
          <w:szCs w:val="28"/>
        </w:rPr>
        <w:t xml:space="preserve"> </w:t>
      </w:r>
      <w:r w:rsidRPr="00B30AD8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. </w:t>
      </w:r>
      <w:r w:rsidR="00425623">
        <w:rPr>
          <w:rFonts w:eastAsia="Times New Roman CYR"/>
          <w:sz w:val="28"/>
          <w:szCs w:val="28"/>
        </w:rPr>
        <w:t>Низамеев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</w:t>
      </w:r>
      <w:r>
        <w:rPr>
          <w:sz w:val="28"/>
          <w:szCs w:val="28"/>
        </w:rPr>
        <w:t xml:space="preserve">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425623">
        <w:rPr>
          <w:sz w:val="28"/>
          <w:szCs w:val="28"/>
        </w:rPr>
        <w:t>09.10.2024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425623">
        <w:rPr>
          <w:rFonts w:eastAsia="Times New Roman CYR"/>
          <w:sz w:val="28"/>
          <w:szCs w:val="28"/>
        </w:rPr>
        <w:t>Низамеев</w:t>
      </w:r>
      <w:r w:rsidRPr="0062561C">
        <w:rPr>
          <w:sz w:val="28"/>
          <w:szCs w:val="28"/>
        </w:rPr>
        <w:t xml:space="preserve"> </w:t>
      </w:r>
      <w:r w:rsidR="00425623">
        <w:rPr>
          <w:sz w:val="28"/>
          <w:szCs w:val="28"/>
        </w:rPr>
        <w:t>на 647 км автодороги Р-404 Тюмень-Тобольск-Ханты-Мансийск</w:t>
      </w:r>
      <w:r w:rsidR="001711F5">
        <w:rPr>
          <w:sz w:val="28"/>
          <w:szCs w:val="28"/>
        </w:rPr>
        <w:t>,</w:t>
      </w:r>
      <w:r w:rsidRPr="00C43E9D">
        <w:rPr>
          <w:color w:val="FF0000"/>
          <w:sz w:val="28"/>
          <w:szCs w:val="28"/>
        </w:rPr>
        <w:t xml:space="preserve"> </w:t>
      </w:r>
      <w:r w:rsidR="001711F5">
        <w:rPr>
          <w:sz w:val="28"/>
          <w:szCs w:val="28"/>
        </w:rPr>
        <w:t xml:space="preserve">управляя т/с  УАЗ </w:t>
      </w:r>
      <w:r w:rsidR="001711F5">
        <w:rPr>
          <w:sz w:val="28"/>
          <w:szCs w:val="28"/>
          <w:lang w:val="en-US"/>
        </w:rPr>
        <w:t>PICKUP</w:t>
      </w:r>
      <w:r w:rsidR="001711F5">
        <w:rPr>
          <w:sz w:val="28"/>
          <w:szCs w:val="28"/>
        </w:rPr>
        <w:t xml:space="preserve">, г.р.з. </w:t>
      </w:r>
      <w:r w:rsidR="00960C65">
        <w:rPr>
          <w:sz w:val="28"/>
          <w:szCs w:val="28"/>
        </w:rPr>
        <w:t>***</w:t>
      </w:r>
      <w:r w:rsidR="001711F5">
        <w:rPr>
          <w:sz w:val="28"/>
          <w:szCs w:val="28"/>
        </w:rPr>
        <w:t xml:space="preserve">, </w:t>
      </w:r>
      <w:r w:rsidRPr="00C43E9D">
        <w:rPr>
          <w:color w:val="FF0000"/>
          <w:sz w:val="28"/>
          <w:szCs w:val="28"/>
        </w:rPr>
        <w:t xml:space="preserve"> </w:t>
      </w:r>
      <w:r w:rsidRPr="0062561C">
        <w:rPr>
          <w:sz w:val="28"/>
          <w:szCs w:val="28"/>
        </w:rPr>
        <w:t>совершил</w:t>
      </w:r>
      <w:r w:rsidRPr="0062561C">
        <w:rPr>
          <w:sz w:val="28"/>
          <w:szCs w:val="28"/>
        </w:rPr>
        <w:t xml:space="preserve"> обгон попутно идущего транспортного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 xml:space="preserve">акже схема отражает траекторию </w:t>
      </w:r>
      <w:r w:rsidRPr="00E648FB">
        <w:rPr>
          <w:sz w:val="28"/>
          <w:szCs w:val="28"/>
        </w:rPr>
        <w:t xml:space="preserve">движения транспортных средств по проезжей части </w:t>
      </w:r>
      <w:r w:rsidRPr="00E648FB">
        <w:rPr>
          <w:sz w:val="28"/>
          <w:szCs w:val="28"/>
        </w:rPr>
        <w:t>дороги, обгоняемое транспортное средство двигалось без выезда на обочину,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 xml:space="preserve">ДПС </w:t>
      </w:r>
      <w:r w:rsidR="001711F5">
        <w:rPr>
          <w:color w:val="FF0000"/>
          <w:sz w:val="28"/>
          <w:szCs w:val="28"/>
        </w:rPr>
        <w:t>ОВ ДПС ГИБДД О</w:t>
      </w:r>
      <w:r w:rsidRPr="00C43E9D">
        <w:rPr>
          <w:color w:val="FF0000"/>
          <w:sz w:val="28"/>
          <w:szCs w:val="28"/>
        </w:rPr>
        <w:t xml:space="preserve">МВД России по </w:t>
      </w:r>
      <w:r w:rsidR="001711F5">
        <w:rPr>
          <w:color w:val="FF0000"/>
          <w:sz w:val="28"/>
          <w:szCs w:val="28"/>
        </w:rPr>
        <w:t>Нефтеюганскому району от 09.</w:t>
      </w:r>
      <w:r w:rsidR="00425623">
        <w:rPr>
          <w:sz w:val="28"/>
          <w:szCs w:val="28"/>
        </w:rPr>
        <w:t>10.2024</w:t>
      </w:r>
      <w:r w:rsidRPr="0062561C">
        <w:rPr>
          <w:sz w:val="28"/>
          <w:szCs w:val="28"/>
        </w:rPr>
        <w:t xml:space="preserve">, согласно которому </w:t>
      </w:r>
      <w:r w:rsidR="00425623">
        <w:rPr>
          <w:sz w:val="28"/>
          <w:szCs w:val="28"/>
        </w:rPr>
        <w:t xml:space="preserve">09.10.2024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="001711F5">
        <w:rPr>
          <w:sz w:val="28"/>
          <w:szCs w:val="28"/>
        </w:rPr>
        <w:t>15.41 час.</w:t>
      </w:r>
      <w:r w:rsidR="00425623">
        <w:rPr>
          <w:sz w:val="28"/>
          <w:szCs w:val="28"/>
        </w:rPr>
        <w:t>на 647 км автодороги Р-404 Тюмень-Тобольск-Ханты-Мансийск</w:t>
      </w:r>
      <w:r w:rsidRPr="00625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нарушение ПДД </w:t>
      </w:r>
      <w:r w:rsidRPr="0062561C">
        <w:rPr>
          <w:sz w:val="28"/>
          <w:szCs w:val="28"/>
        </w:rPr>
        <w:t xml:space="preserve">было остановлено </w:t>
      </w:r>
      <w:r w:rsidR="001711F5">
        <w:rPr>
          <w:sz w:val="28"/>
          <w:szCs w:val="28"/>
        </w:rPr>
        <w:t>т/</w:t>
      </w:r>
      <w:r w:rsidR="001711F5">
        <w:rPr>
          <w:sz w:val="28"/>
          <w:szCs w:val="28"/>
        </w:rPr>
        <w:t>с  УАЗ</w:t>
      </w:r>
      <w:r w:rsidR="001711F5">
        <w:rPr>
          <w:sz w:val="28"/>
          <w:szCs w:val="28"/>
        </w:rPr>
        <w:t xml:space="preserve"> </w:t>
      </w:r>
      <w:r w:rsidR="001711F5">
        <w:rPr>
          <w:sz w:val="28"/>
          <w:szCs w:val="28"/>
          <w:lang w:val="en-US"/>
        </w:rPr>
        <w:t>PICKUP</w:t>
      </w:r>
      <w:r w:rsidR="001711F5">
        <w:rPr>
          <w:sz w:val="28"/>
          <w:szCs w:val="28"/>
        </w:rPr>
        <w:t xml:space="preserve">, г.р.з. </w:t>
      </w:r>
      <w:r w:rsidR="00960C65">
        <w:rPr>
          <w:sz w:val="28"/>
          <w:szCs w:val="28"/>
        </w:rPr>
        <w:t>***</w:t>
      </w:r>
      <w:r w:rsidR="001711F5">
        <w:rPr>
          <w:sz w:val="28"/>
          <w:szCs w:val="28"/>
        </w:rPr>
        <w:t xml:space="preserve">, </w:t>
      </w:r>
      <w:r w:rsidRPr="00C43E9D" w:rsidR="001711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425623">
        <w:rPr>
          <w:rFonts w:eastAsia="Times New Roman CYR"/>
          <w:sz w:val="28"/>
          <w:szCs w:val="28"/>
        </w:rPr>
        <w:t>Низамеев</w:t>
      </w:r>
      <w:r w:rsidR="001711F5">
        <w:rPr>
          <w:rFonts w:eastAsia="Times New Roman CYR"/>
          <w:sz w:val="28"/>
          <w:szCs w:val="28"/>
        </w:rPr>
        <w:t>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</w:t>
      </w:r>
      <w:r w:rsidRPr="0062561C">
        <w:rPr>
          <w:sz w:val="28"/>
          <w:szCs w:val="28"/>
        </w:rPr>
        <w:t>дства, 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</w:t>
      </w:r>
      <w:r w:rsidR="001711F5">
        <w:rPr>
          <w:sz w:val="28"/>
          <w:szCs w:val="28"/>
        </w:rPr>
        <w:t xml:space="preserve"> </w:t>
      </w:r>
      <w:r w:rsidR="00F77745">
        <w:rPr>
          <w:sz w:val="28"/>
          <w:szCs w:val="28"/>
        </w:rPr>
        <w:t>Р-404 Тюмень-Тобольск-Ханты-Мансийск</w:t>
      </w:r>
      <w:r w:rsidRPr="00D76B16">
        <w:rPr>
          <w:color w:val="FF0000"/>
          <w:sz w:val="28"/>
          <w:szCs w:val="28"/>
        </w:rPr>
        <w:t xml:space="preserve">, согласно которой на </w:t>
      </w:r>
      <w:r w:rsidR="001711F5">
        <w:rPr>
          <w:color w:val="FF0000"/>
          <w:sz w:val="28"/>
          <w:szCs w:val="28"/>
        </w:rPr>
        <w:t>647</w:t>
      </w:r>
      <w:r w:rsidRPr="00D76B16">
        <w:rPr>
          <w:color w:val="FF0000"/>
          <w:sz w:val="28"/>
          <w:szCs w:val="28"/>
        </w:rPr>
        <w:t xml:space="preserve"> км.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425623">
        <w:rPr>
          <w:rFonts w:ascii="Times New Roman" w:eastAsia="Times New Roman CYR" w:hAnsi="Times New Roman"/>
          <w:sz w:val="28"/>
          <w:szCs w:val="28"/>
        </w:rPr>
        <w:t>Низамеев</w:t>
      </w:r>
      <w:r w:rsidR="001711F5">
        <w:rPr>
          <w:rFonts w:ascii="Times New Roman" w:eastAsia="Times New Roman CYR" w:hAnsi="Times New Roman"/>
          <w:sz w:val="28"/>
          <w:szCs w:val="28"/>
        </w:rPr>
        <w:t>а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1711F5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-карточкой операции с ВУ;</w:t>
      </w:r>
    </w:p>
    <w:p w:rsidR="001711F5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-карточкой учета ТС;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</w:t>
      </w:r>
      <w:r w:rsidRPr="0062561C">
        <w:rPr>
          <w:sz w:val="28"/>
          <w:szCs w:val="28"/>
        </w:rPr>
        <w:t>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 xml:space="preserve">О некоторых вопросах, возникающих у судов при применении Особенной части Кодекса Российской Федерации об </w:t>
      </w:r>
      <w:r w:rsidRPr="0062561C">
        <w:rPr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</w:t>
      </w:r>
      <w:r w:rsidRPr="001A77D4">
        <w:rPr>
          <w:rFonts w:eastAsia="Calibri"/>
          <w:sz w:val="28"/>
          <w:szCs w:val="28"/>
          <w:lang w:eastAsia="en-US"/>
        </w:rPr>
        <w:t>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</w:t>
      </w:r>
      <w:r w:rsidRPr="00E9233F">
        <w:rPr>
          <w:sz w:val="28"/>
          <w:szCs w:val="28"/>
        </w:rPr>
        <w:t>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</w:t>
        </w:r>
        <w:r w:rsidRPr="00E9233F">
          <w:rPr>
            <w:rStyle w:val="Hyperlink"/>
            <w:sz w:val="28"/>
            <w:szCs w:val="28"/>
          </w:rPr>
          <w:t>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</w:t>
      </w:r>
      <w:r w:rsidRPr="00E9233F">
        <w:rPr>
          <w:sz w:val="28"/>
          <w:szCs w:val="28"/>
        </w:rPr>
        <w:t xml:space="preserve">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</w:t>
      </w:r>
      <w:r w:rsidRPr="00E9233F">
        <w:rPr>
          <w:sz w:val="28"/>
          <w:szCs w:val="28"/>
        </w:rPr>
        <w:t xml:space="preserve">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</w:t>
      </w:r>
      <w:r w:rsidRPr="0062561C">
        <w:rPr>
          <w:sz w:val="28"/>
          <w:szCs w:val="28"/>
        </w:rPr>
        <w:t>ь относящиеся к ним требования Правил, сигналов светофоров, знаков и разметки.</w:t>
      </w:r>
    </w:p>
    <w:p w:rsidR="00D41E28" w:rsidRPr="00D41E28" w:rsidP="00D41E28">
      <w:pPr>
        <w:pStyle w:val="NoSpacing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41E28">
        <w:rPr>
          <w:rFonts w:ascii="Times New Roman" w:hAnsi="Times New Roman"/>
          <w:color w:val="FF0000"/>
          <w:sz w:val="28"/>
          <w:szCs w:val="28"/>
        </w:rPr>
        <w:t xml:space="preserve">В соответствии с 9.1.1 ПДД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 w:rsidRPr="00D41E28">
        <w:rPr>
          <w:rFonts w:ascii="Times New Roman" w:hAnsi="Times New Roman"/>
          <w:color w:val="FF0000"/>
          <w:sz w:val="28"/>
          <w:szCs w:val="28"/>
        </w:rPr>
        <w:t>путями, разделительной полосой, разметкой 1.1, 1.3 или разметкой 1.11, прерывистая линия которой расположена слева.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>Согласно Приложению 2 к ПДД горизонтальная дорожная разметка 1.1 разделяет транспортные потоки противоположных направлений и обозначает гран</w:t>
      </w:r>
      <w:r>
        <w:t>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425623">
        <w:rPr>
          <w:rFonts w:eastAsia="Times New Roman CYR"/>
          <w:sz w:val="28"/>
          <w:szCs w:val="28"/>
        </w:rPr>
        <w:t>Низамеев</w:t>
      </w:r>
      <w:r w:rsidR="001711F5">
        <w:rPr>
          <w:rFonts w:eastAsia="Times New Roman CYR"/>
          <w:sz w:val="28"/>
          <w:szCs w:val="28"/>
        </w:rPr>
        <w:t>ым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выезда на </w:t>
      </w:r>
      <w:r w:rsidRPr="0062561C">
        <w:rPr>
          <w:sz w:val="28"/>
          <w:szCs w:val="28"/>
        </w:rPr>
        <w:t>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</w:t>
      </w:r>
      <w:r w:rsidRPr="0062561C">
        <w:rPr>
          <w:sz w:val="28"/>
          <w:szCs w:val="28"/>
        </w:rPr>
        <w:t xml:space="preserve">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правонаруше</w:t>
      </w:r>
      <w:r w:rsidRPr="0062561C">
        <w:rPr>
          <w:sz w:val="28"/>
          <w:szCs w:val="28"/>
        </w:rPr>
        <w:t>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62561C">
        <w:rPr>
          <w:sz w:val="28"/>
          <w:szCs w:val="28"/>
        </w:rPr>
        <w:t xml:space="preserve">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</w:t>
      </w:r>
      <w:r w:rsidRPr="0062561C">
        <w:rPr>
          <w:sz w:val="28"/>
          <w:szCs w:val="28"/>
        </w:rPr>
        <w:t>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425623">
        <w:rPr>
          <w:rFonts w:eastAsia="Times New Roman CYR"/>
          <w:sz w:val="28"/>
          <w:szCs w:val="28"/>
        </w:rPr>
        <w:t>Низамеев</w:t>
      </w:r>
      <w:r w:rsidR="001711F5">
        <w:rPr>
          <w:rFonts w:eastAsia="Times New Roman CYR"/>
          <w:sz w:val="28"/>
          <w:szCs w:val="28"/>
        </w:rPr>
        <w:t>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</w:t>
      </w:r>
      <w:r w:rsidRPr="0062561C">
        <w:rPr>
          <w:sz w:val="28"/>
          <w:szCs w:val="28"/>
        </w:rPr>
        <w:t>роги, предназначенную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425623">
        <w:rPr>
          <w:rFonts w:eastAsia="Times New Roman CYR"/>
          <w:sz w:val="28"/>
          <w:szCs w:val="28"/>
        </w:rPr>
        <w:t>Низамеев</w:t>
      </w:r>
      <w:r w:rsidR="001711F5">
        <w:rPr>
          <w:rFonts w:eastAsia="Times New Roman CYR"/>
          <w:sz w:val="28"/>
          <w:szCs w:val="28"/>
        </w:rPr>
        <w:t>а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4A496E" w:rsidP="001A77D4">
      <w:pPr>
        <w:ind w:firstLine="567"/>
        <w:jc w:val="both"/>
        <w:rPr>
          <w:color w:val="C00000"/>
          <w:sz w:val="28"/>
          <w:szCs w:val="28"/>
        </w:rPr>
      </w:pPr>
      <w:r w:rsidRPr="004A496E">
        <w:rPr>
          <w:sz w:val="28"/>
          <w:szCs w:val="28"/>
        </w:rPr>
        <w:t>Обстоятельств</w:t>
      </w:r>
      <w:r w:rsidR="004A496E">
        <w:rPr>
          <w:sz w:val="28"/>
          <w:szCs w:val="28"/>
        </w:rPr>
        <w:t>ом</w:t>
      </w:r>
      <w:r w:rsidRPr="004A496E">
        <w:rPr>
          <w:sz w:val="28"/>
          <w:szCs w:val="28"/>
        </w:rPr>
        <w:t>,</w:t>
      </w:r>
      <w:r w:rsidRPr="004A496E">
        <w:rPr>
          <w:sz w:val="28"/>
          <w:szCs w:val="28"/>
        </w:rPr>
        <w:t xml:space="preserve"> смягчающи</w:t>
      </w:r>
      <w:r w:rsidR="004A496E">
        <w:rPr>
          <w:sz w:val="28"/>
          <w:szCs w:val="28"/>
        </w:rPr>
        <w:t>м</w:t>
      </w:r>
      <w:r w:rsidRPr="004A496E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4A496E">
        <w:rPr>
          <w:sz w:val="28"/>
          <w:szCs w:val="28"/>
        </w:rPr>
        <w:t>признает признание вины</w:t>
      </w:r>
      <w:r w:rsidRPr="004A496E">
        <w:rPr>
          <w:color w:val="C00000"/>
          <w:sz w:val="28"/>
          <w:szCs w:val="28"/>
        </w:rPr>
        <w:t xml:space="preserve">. </w:t>
      </w:r>
    </w:p>
    <w:p w:rsidR="00D76B16" w:rsidRPr="004A496E" w:rsidP="00D76B16">
      <w:pPr>
        <w:ind w:firstLine="567"/>
        <w:jc w:val="both"/>
        <w:rPr>
          <w:sz w:val="28"/>
          <w:szCs w:val="28"/>
        </w:rPr>
      </w:pPr>
      <w:r w:rsidRPr="004A496E">
        <w:rPr>
          <w:sz w:val="28"/>
          <w:szCs w:val="28"/>
        </w:rPr>
        <w:t>Обстоятельством, отягчающим административную ответственность, в соответствии со</w:t>
      </w:r>
      <w:r w:rsidRPr="004A496E">
        <w:rPr>
          <w:sz w:val="28"/>
          <w:szCs w:val="28"/>
        </w:rPr>
        <w:t xml:space="preserve"> ст. 4.3 Кодекса Российской Федерации об административных </w:t>
      </w:r>
      <w:r w:rsidRPr="004A496E">
        <w:rPr>
          <w:sz w:val="28"/>
          <w:szCs w:val="28"/>
        </w:rPr>
        <w:t>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4A496E">
        <w:rPr>
          <w:sz w:val="28"/>
          <w:szCs w:val="28"/>
        </w:rPr>
        <w:t>Учитывая установленные обстоятельства, судья считает</w:t>
      </w:r>
      <w:r w:rsidRPr="0062561C">
        <w:rPr>
          <w:sz w:val="28"/>
          <w:szCs w:val="28"/>
        </w:rPr>
        <w:t xml:space="preserve"> возможным назнач</w:t>
      </w:r>
      <w:r w:rsidRPr="0062561C">
        <w:rPr>
          <w:sz w:val="28"/>
          <w:szCs w:val="28"/>
        </w:rPr>
        <w:t>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425623">
        <w:rPr>
          <w:rFonts w:eastAsia="Times New Roman CYR"/>
          <w:sz w:val="28"/>
          <w:szCs w:val="28"/>
        </w:rPr>
        <w:t>Низамеев</w:t>
      </w:r>
      <w:r w:rsidR="001711F5">
        <w:rPr>
          <w:rFonts w:eastAsia="Times New Roman CYR"/>
          <w:sz w:val="28"/>
          <w:szCs w:val="28"/>
        </w:rPr>
        <w:t>у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425623">
        <w:rPr>
          <w:sz w:val="28"/>
          <w:szCs w:val="28"/>
        </w:rPr>
        <w:t>Низамеева</w:t>
      </w:r>
      <w:r w:rsidR="00425623">
        <w:rPr>
          <w:sz w:val="28"/>
          <w:szCs w:val="28"/>
        </w:rPr>
        <w:t xml:space="preserve"> И</w:t>
      </w:r>
      <w:r w:rsidR="00960C65">
        <w:rPr>
          <w:sz w:val="28"/>
          <w:szCs w:val="28"/>
        </w:rPr>
        <w:t>.Г</w:t>
      </w:r>
      <w:r w:rsidR="00425623">
        <w:rPr>
          <w:rFonts w:eastAsia="Times New Roman CYR"/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>При упла</w:t>
      </w:r>
      <w:r w:rsidRPr="00BF2787">
        <w:rPr>
          <w:sz w:val="28"/>
          <w:szCs w:val="28"/>
        </w:rPr>
        <w:t xml:space="preserve">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по </w:t>
      </w:r>
      <w:r w:rsidRPr="00981294">
        <w:rPr>
          <w:rFonts w:ascii="Times New Roman" w:hAnsi="Times New Roman"/>
          <w:sz w:val="28"/>
          <w:szCs w:val="28"/>
        </w:rPr>
        <w:t>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</w:t>
      </w:r>
      <w:r w:rsidRPr="00981294">
        <w:rPr>
          <w:rFonts w:ascii="Times New Roman" w:hAnsi="Times New Roman"/>
          <w:sz w:val="28"/>
          <w:szCs w:val="28"/>
        </w:rPr>
        <w:t>Мансийск,  БИК</w:t>
      </w:r>
      <w:r w:rsidRPr="00981294">
        <w:rPr>
          <w:rFonts w:ascii="Times New Roman" w:hAnsi="Times New Roman"/>
          <w:sz w:val="28"/>
          <w:szCs w:val="28"/>
        </w:rPr>
        <w:t xml:space="preserve">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71818000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 40</w:t>
      </w:r>
      <w:r w:rsidRPr="00981294">
        <w:rPr>
          <w:rFonts w:ascii="Times New Roman" w:hAnsi="Times New Roman"/>
          <w:sz w:val="28"/>
          <w:szCs w:val="28"/>
        </w:rPr>
        <w:t>102810245370000007, КБК 18811601123010001140</w:t>
      </w:r>
      <w:r w:rsidR="001711F5">
        <w:rPr>
          <w:rFonts w:ascii="Times New Roman" w:hAnsi="Times New Roman"/>
          <w:sz w:val="28"/>
          <w:szCs w:val="28"/>
        </w:rPr>
        <w:t>,</w:t>
      </w:r>
      <w:r w:rsidRPr="00981294">
        <w:rPr>
          <w:rFonts w:ascii="Times New Roman" w:hAnsi="Times New Roman"/>
          <w:sz w:val="28"/>
          <w:szCs w:val="28"/>
        </w:rPr>
        <w:t xml:space="preserve"> </w:t>
      </w:r>
      <w:r w:rsidR="00A67AEC">
        <w:rPr>
          <w:rFonts w:ascii="Times New Roman" w:hAnsi="Times New Roman"/>
          <w:sz w:val="28"/>
          <w:szCs w:val="28"/>
        </w:rPr>
        <w:t xml:space="preserve">УИН </w:t>
      </w:r>
      <w:r w:rsidR="00960C65">
        <w:rPr>
          <w:rFonts w:ascii="Times New Roman" w:hAnsi="Times New Roman"/>
          <w:sz w:val="28"/>
          <w:szCs w:val="28"/>
        </w:rPr>
        <w:t>***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</w:t>
      </w:r>
      <w:r w:rsidRPr="0062561C">
        <w:rPr>
          <w:rFonts w:ascii="Times New Roman" w:hAnsi="Times New Roman"/>
          <w:sz w:val="28"/>
          <w:szCs w:val="28"/>
        </w:rPr>
        <w:t>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 w:rsidR="002523A9">
        <w:rPr>
          <w:rFonts w:ascii="Times New Roman" w:hAnsi="Times New Roman"/>
          <w:sz w:val="28"/>
          <w:szCs w:val="28"/>
        </w:rPr>
        <w:t>дней</w:t>
      </w:r>
      <w:r w:rsidRPr="0062561C">
        <w:rPr>
          <w:rFonts w:ascii="Times New Roman" w:hAnsi="Times New Roman"/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47637F" w:rsidP="0047637F">
      <w:pPr>
        <w:ind w:firstLine="567"/>
        <w:rPr>
          <w:sz w:val="28"/>
          <w:szCs w:val="28"/>
        </w:rPr>
      </w:pPr>
      <w:r w:rsidRPr="0062561C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 подпись</w:t>
      </w:r>
    </w:p>
    <w:p w:rsidR="0047637F" w:rsidP="004763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4A4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11F5"/>
    <w:rsid w:val="00172840"/>
    <w:rsid w:val="00197FCE"/>
    <w:rsid w:val="001A5FA9"/>
    <w:rsid w:val="001A77D4"/>
    <w:rsid w:val="00207961"/>
    <w:rsid w:val="00234B9A"/>
    <w:rsid w:val="00241631"/>
    <w:rsid w:val="002470BE"/>
    <w:rsid w:val="002523A9"/>
    <w:rsid w:val="0025772E"/>
    <w:rsid w:val="00274A7E"/>
    <w:rsid w:val="00275812"/>
    <w:rsid w:val="002A212B"/>
    <w:rsid w:val="002A71E9"/>
    <w:rsid w:val="002D07E6"/>
    <w:rsid w:val="002D356D"/>
    <w:rsid w:val="002D782A"/>
    <w:rsid w:val="002F6E8A"/>
    <w:rsid w:val="00323AA9"/>
    <w:rsid w:val="00370417"/>
    <w:rsid w:val="00377E2F"/>
    <w:rsid w:val="003A161B"/>
    <w:rsid w:val="003C6B41"/>
    <w:rsid w:val="003D11CD"/>
    <w:rsid w:val="003D1EE0"/>
    <w:rsid w:val="00402F8D"/>
    <w:rsid w:val="00425623"/>
    <w:rsid w:val="00431E00"/>
    <w:rsid w:val="004422E9"/>
    <w:rsid w:val="004511E2"/>
    <w:rsid w:val="00467D25"/>
    <w:rsid w:val="0047637F"/>
    <w:rsid w:val="00476AC4"/>
    <w:rsid w:val="00486F65"/>
    <w:rsid w:val="004A496E"/>
    <w:rsid w:val="004B0163"/>
    <w:rsid w:val="004C34D7"/>
    <w:rsid w:val="004C7ADB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870B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60C65"/>
    <w:rsid w:val="00981294"/>
    <w:rsid w:val="009C4C00"/>
    <w:rsid w:val="009C5616"/>
    <w:rsid w:val="009D7165"/>
    <w:rsid w:val="00A0101B"/>
    <w:rsid w:val="00A01710"/>
    <w:rsid w:val="00A30086"/>
    <w:rsid w:val="00A537B6"/>
    <w:rsid w:val="00A67AEC"/>
    <w:rsid w:val="00A91075"/>
    <w:rsid w:val="00AC0378"/>
    <w:rsid w:val="00AC3DED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3407"/>
    <w:rsid w:val="00BF2787"/>
    <w:rsid w:val="00C056A0"/>
    <w:rsid w:val="00C1157C"/>
    <w:rsid w:val="00C34040"/>
    <w:rsid w:val="00C422BB"/>
    <w:rsid w:val="00C43E9D"/>
    <w:rsid w:val="00C544A3"/>
    <w:rsid w:val="00C75973"/>
    <w:rsid w:val="00C85838"/>
    <w:rsid w:val="00CB3181"/>
    <w:rsid w:val="00CF0A9B"/>
    <w:rsid w:val="00D02248"/>
    <w:rsid w:val="00D05236"/>
    <w:rsid w:val="00D05D9C"/>
    <w:rsid w:val="00D17F2B"/>
    <w:rsid w:val="00D41E28"/>
    <w:rsid w:val="00D64649"/>
    <w:rsid w:val="00D65F02"/>
    <w:rsid w:val="00D76B16"/>
    <w:rsid w:val="00DE01F2"/>
    <w:rsid w:val="00DE768E"/>
    <w:rsid w:val="00DF199D"/>
    <w:rsid w:val="00E12323"/>
    <w:rsid w:val="00E34E9E"/>
    <w:rsid w:val="00E362BE"/>
    <w:rsid w:val="00E40710"/>
    <w:rsid w:val="00E648FB"/>
    <w:rsid w:val="00E70851"/>
    <w:rsid w:val="00E70B0E"/>
    <w:rsid w:val="00E9233F"/>
    <w:rsid w:val="00E94601"/>
    <w:rsid w:val="00E95F3E"/>
    <w:rsid w:val="00EA2E1B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529F8C7-A4FD-452F-A472-4FE239E4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